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4B090" w14:textId="0C79B51A" w:rsidR="00806945" w:rsidRDefault="00806945">
      <w:pPr>
        <w:rPr>
          <w:noProof/>
        </w:rPr>
      </w:pPr>
      <w:r>
        <w:rPr>
          <w:noProof/>
        </w:rPr>
        <w:t>Warm UP Replacements: Applying the Unit Circle</w:t>
      </w:r>
    </w:p>
    <w:p w14:paraId="2066651A" w14:textId="77777777" w:rsidR="00A55A20" w:rsidRDefault="002763A6">
      <w:r>
        <w:rPr>
          <w:noProof/>
        </w:rPr>
        <w:drawing>
          <wp:inline distT="0" distB="0" distL="0" distR="0" wp14:anchorId="0D7750C0" wp14:editId="34253F88">
            <wp:extent cx="5568772" cy="494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4826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748" cy="494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166FF" w14:textId="77777777" w:rsidR="002763A6" w:rsidRDefault="002763A6">
      <w:r>
        <w:rPr>
          <w:noProof/>
        </w:rPr>
        <w:drawing>
          <wp:inline distT="0" distB="0" distL="0" distR="0" wp14:anchorId="7CA60789" wp14:editId="30FAB1CB">
            <wp:extent cx="5505450" cy="25703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4A61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121" cy="257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19023A" w14:textId="77777777" w:rsidR="002763A6" w:rsidRDefault="002763A6">
      <w:r>
        <w:rPr>
          <w:noProof/>
        </w:rPr>
        <w:lastRenderedPageBreak/>
        <w:drawing>
          <wp:inline distT="0" distB="0" distL="0" distR="0" wp14:anchorId="1C523C60" wp14:editId="19E2E7AC">
            <wp:extent cx="5362575" cy="431641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24F6B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202" cy="431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DE7F30" wp14:editId="62C215C6">
            <wp:extent cx="5020074" cy="37623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241B0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822" cy="377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A6"/>
    <w:rsid w:val="002763A6"/>
    <w:rsid w:val="005E6602"/>
    <w:rsid w:val="00806945"/>
    <w:rsid w:val="00A24754"/>
    <w:rsid w:val="00C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7A54"/>
  <w15:chartTrackingRefBased/>
  <w15:docId w15:val="{427B75A1-2331-4166-91D0-5CFBA07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3</cp:revision>
  <dcterms:created xsi:type="dcterms:W3CDTF">2016-06-09T18:39:00Z</dcterms:created>
  <dcterms:modified xsi:type="dcterms:W3CDTF">2016-06-09T18:41:00Z</dcterms:modified>
</cp:coreProperties>
</file>